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jc w:val="right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川教函〔2018〕649号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 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jc w:val="center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四川省教育厅关于公布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jc w:val="center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2018年省级精品在线开放课程认定结果的通知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 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各高等学校：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根据教育部《关于加强高等学校在线开放课程建设应用与管理的意见》（教高〔2015〕3号）和《四川省教育厅关于做好2018年精品在线开放课程认定工作的通知》（川教函〔2018〕445号）精神，我厅组织开展了本年度省级精品在线开放课程的申报、认定工作。经学校推荐、专家评审、网上公示，认定四川大学《政治伦理学》等58门课程为2018年省级精品在线开放课程，现予公布（名单见附件）。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一、各高校要高度重视、全面推进在线开放课程建设与应用工作，充分发挥其在提升质量、推进公平、创新人才培养机制方面的重要作用。要以精品在线开放课程建设与应用为契机，不断深化信息技术与教育教学深度融合，深入推进以学生为中心的课程改革、教学方式与学习方式变革，实现高等教育教学质量的“变轨超车”。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二、各高校要积极行动起来，因地制宜、因校制宜加强精品在线开放课程的应用共享，创新多种线上线下混合式教学模式和学分管理制度，提升广大教师运用网络信息技术开展教学的能力，不断提高教育教学质量，实现高等教育内涵式发展。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lastRenderedPageBreak/>
        <w:t>三、相关高校须加强对省级精品在线开放课程运行情况的监督和管理，不断提升课程质量和教学服务，确保面向高校和社会开放并提供教学服务不少于5年。课程建设团队要持续对课程内容进行更新完善，切实发挥示范引领作用，扩大课程应用规模，提升课程应用效果，指导和培训更多高校教师应用课程，为提升我省高等教育整体质量做出贡献。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四、课程平台单位要做好省级精品在线开放课程的运行、服务、宣传推广和网络安全保障，进一步加强与高校课程建设团队、课程应用高校的合作，不断提升技术服务水平，协同运用在线开放课程大数据，为高校师生和社会学习者提供优质高效的全方位或个性化服务。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五、我厅将通过使用评价、年度检查、随机抽查等方式，对省级精品在线开放课程的在线运行、实际应用、教学效果等进行跟踪监测和综合评价，并不定时公布课程应用数据和综合评价结果，对于未能达到持续更新和运行要求的课程，将取消省级精品在线开放课程资格。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 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附件：2018年四川省省级精品在线开放课程名单（排名不分先后）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 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 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jc w:val="right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hint="eastAsia"/>
          <w:color w:val="000000"/>
          <w:sz w:val="27"/>
          <w:szCs w:val="27"/>
        </w:rPr>
        <w:t>                    </w:t>
      </w:r>
      <w:r>
        <w:rPr>
          <w:rFonts w:ascii="微软雅黑" w:eastAsia="微软雅黑" w:hAnsi="微软雅黑" w:hint="eastAsia"/>
          <w:color w:val="000000"/>
          <w:sz w:val="27"/>
          <w:szCs w:val="27"/>
        </w:rPr>
        <w:t>     四川省教育厅</w:t>
      </w:r>
    </w:p>
    <w:p w:rsidR="00BD70AB" w:rsidRDefault="00BD70AB" w:rsidP="00BD70AB">
      <w:pPr>
        <w:pStyle w:val="a5"/>
        <w:spacing w:before="0" w:beforeAutospacing="0" w:after="0" w:afterAutospacing="0" w:line="536" w:lineRule="atLeast"/>
        <w:ind w:firstLine="536"/>
        <w:jc w:val="right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2018年11月8日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2609"/>
        <w:gridCol w:w="4029"/>
        <w:gridCol w:w="1299"/>
        <w:gridCol w:w="1243"/>
      </w:tblGrid>
      <w:tr w:rsidR="00BD70AB">
        <w:tblPrEx>
          <w:tblCellMar>
            <w:top w:w="0" w:type="dxa"/>
            <w:bottom w:w="0" w:type="dxa"/>
          </w:tblCellMar>
        </w:tblPrEx>
        <w:trPr>
          <w:trHeight w:val="391"/>
        </w:trPr>
        <w:tc>
          <w:tcPr>
            <w:tcW w:w="2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70AB" w:rsidRDefault="00BD70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南充职业技术学院</w:t>
            </w:r>
          </w:p>
        </w:tc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70AB" w:rsidRDefault="00BD70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会计电算化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70AB" w:rsidRDefault="00BD70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张煜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70AB" w:rsidRDefault="00BD70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专科高职</w:t>
            </w:r>
          </w:p>
        </w:tc>
      </w:tr>
    </w:tbl>
    <w:p w:rsidR="001B3967" w:rsidRDefault="001B3967"/>
    <w:sectPr w:rsidR="001B39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967" w:rsidRDefault="001B3967" w:rsidP="00BD70AB">
      <w:r>
        <w:separator/>
      </w:r>
    </w:p>
  </w:endnote>
  <w:endnote w:type="continuationSeparator" w:id="1">
    <w:p w:rsidR="001B3967" w:rsidRDefault="001B3967" w:rsidP="00BD70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967" w:rsidRDefault="001B3967" w:rsidP="00BD70AB">
      <w:r>
        <w:separator/>
      </w:r>
    </w:p>
  </w:footnote>
  <w:footnote w:type="continuationSeparator" w:id="1">
    <w:p w:rsidR="001B3967" w:rsidRDefault="001B3967" w:rsidP="00BD70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0AB"/>
    <w:rsid w:val="001B3967"/>
    <w:rsid w:val="00BD7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7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70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7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70A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D70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5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2020-09-26T08:13:00Z</dcterms:created>
  <dcterms:modified xsi:type="dcterms:W3CDTF">2020-09-26T08:15:00Z</dcterms:modified>
</cp:coreProperties>
</file>